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Guiding Questions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The population of Athens was stated as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citizens 50,000, resident foreigners 25,000, slaves 100,000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That huge discrepancy, or difference in size, is notable. What does that say about Athens and Greece as a society?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If slaves served in the army, what does that say about the Athenian army?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What does it mean to be the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property of the state or individuals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>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Only non-Greeks were slaves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it was considered immoral to enslave Greeks. Does that sound familiar to you? In what nation did something similar to that happen?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Re-read the quote by Pseudo-Xenophon. Please write down at least 2 of the most interesting things that you read in the quote that are </w:t>
      </w:r>
      <w:r>
        <w:rPr>
          <w:i w:val="1"/>
          <w:iCs w:val="1"/>
          <w:rtl w:val="0"/>
          <w:lang w:val="en-US"/>
        </w:rPr>
        <w:t xml:space="preserve">different </w:t>
      </w:r>
      <w:r>
        <w:rPr>
          <w:rtl w:val="0"/>
          <w:lang w:val="en-US"/>
        </w:rPr>
        <w:t xml:space="preserve">than American slavery.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